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E90D" w14:textId="77777777" w:rsidR="006C4B2C" w:rsidRPr="00CB1BD1" w:rsidRDefault="006C4B2C" w:rsidP="00C22BA0">
      <w:pPr>
        <w:spacing w:after="0" w:line="240" w:lineRule="auto"/>
        <w:ind w:left="1080" w:right="-180"/>
        <w:jc w:val="both"/>
        <w:rPr>
          <w:rFonts w:eastAsia="Times New Roman" w:cstheme="minorHAnsi"/>
          <w:lang w:eastAsia="en-GB"/>
        </w:rPr>
      </w:pPr>
    </w:p>
    <w:p w14:paraId="7101D985" w14:textId="207A20D6" w:rsidR="00CB1BD1" w:rsidRPr="00393269" w:rsidRDefault="00393269" w:rsidP="00C22BA0">
      <w:pPr>
        <w:spacing w:after="0" w:line="240" w:lineRule="auto"/>
        <w:ind w:left="1080" w:right="-180"/>
        <w:jc w:val="both"/>
        <w:rPr>
          <w:rFonts w:eastAsia="Times New Roman" w:cstheme="minorHAnsi"/>
          <w:color w:val="00B0F0"/>
          <w:sz w:val="24"/>
          <w:szCs w:val="24"/>
          <w:lang w:eastAsia="en-GB"/>
        </w:rPr>
      </w:pPr>
      <w:r w:rsidRPr="00393269">
        <w:rPr>
          <w:rFonts w:eastAsia="Times New Roman" w:cstheme="minorHAnsi"/>
          <w:b/>
          <w:color w:val="00B0F0"/>
          <w:sz w:val="24"/>
          <w:szCs w:val="24"/>
        </w:rPr>
        <w:t xml:space="preserve">Sexual Activity </w:t>
      </w:r>
      <w:r w:rsidR="00DF1B74">
        <w:rPr>
          <w:rFonts w:eastAsia="Times New Roman" w:cstheme="minorHAnsi"/>
          <w:b/>
          <w:color w:val="00B0F0"/>
          <w:sz w:val="24"/>
          <w:szCs w:val="24"/>
        </w:rPr>
        <w:t xml:space="preserve">and </w:t>
      </w:r>
      <w:r w:rsidRPr="00393269">
        <w:rPr>
          <w:rFonts w:eastAsia="Times New Roman" w:cstheme="minorHAnsi"/>
          <w:b/>
          <w:color w:val="00B0F0"/>
          <w:sz w:val="24"/>
          <w:szCs w:val="24"/>
        </w:rPr>
        <w:t>Underage Sexual Activity</w:t>
      </w:r>
    </w:p>
    <w:p w14:paraId="55E8D019" w14:textId="77777777" w:rsidR="00CB1BD1" w:rsidRPr="00CB1BD1" w:rsidRDefault="00CB1BD1" w:rsidP="00C22BA0">
      <w:pPr>
        <w:spacing w:after="0" w:line="240" w:lineRule="auto"/>
        <w:ind w:left="1080" w:right="-180"/>
        <w:jc w:val="both"/>
        <w:rPr>
          <w:rFonts w:eastAsia="Times New Roman" w:cstheme="minorHAnsi"/>
          <w:lang w:eastAsia="en-GB"/>
        </w:rPr>
      </w:pPr>
    </w:p>
    <w:p w14:paraId="5666895A" w14:textId="4160F242"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Within sport, as within other activities, sexual relationships can and will occur. This section looks at both sexual activity among young people and between adults and young people. Anyone working with children and young people who become</w:t>
      </w:r>
      <w:r w:rsidR="00802CC5">
        <w:rPr>
          <w:rFonts w:eastAsia="Times New Roman" w:cstheme="minorHAnsi"/>
          <w:lang w:eastAsia="en-GB"/>
        </w:rPr>
        <w:t>s</w:t>
      </w:r>
      <w:r w:rsidRPr="00CB1BD1">
        <w:rPr>
          <w:rFonts w:eastAsia="Times New Roman" w:cstheme="minorHAnsi"/>
          <w:lang w:eastAsia="en-GB"/>
        </w:rPr>
        <w:t xml:space="preserve"> aware of sexual activity taking place has a duty of care to consider the impact and whether this behaviour is indicative of a wider child protection issue.</w:t>
      </w:r>
    </w:p>
    <w:p w14:paraId="36B013F8" w14:textId="77777777" w:rsidR="006C4B2C" w:rsidRPr="00CB1BD1" w:rsidRDefault="006C4B2C" w:rsidP="00C22BA0">
      <w:pPr>
        <w:spacing w:after="0" w:line="240" w:lineRule="auto"/>
        <w:ind w:left="1080" w:right="-180"/>
        <w:jc w:val="both"/>
        <w:rPr>
          <w:rFonts w:eastAsia="Times New Roman" w:cstheme="minorHAnsi"/>
          <w:lang w:eastAsia="en-GB"/>
        </w:rPr>
      </w:pPr>
    </w:p>
    <w:p w14:paraId="1BFAD581"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There are certain circumstances in which adults working with children and young people should automatically share child protection concerns:</w:t>
      </w:r>
    </w:p>
    <w:p w14:paraId="00DD897D" w14:textId="77777777" w:rsidR="006C4B2C" w:rsidRPr="00CB1BD1" w:rsidRDefault="006C4B2C" w:rsidP="00C22BA0">
      <w:pPr>
        <w:spacing w:after="0" w:line="240" w:lineRule="auto"/>
        <w:ind w:left="1080" w:right="-180"/>
        <w:jc w:val="both"/>
        <w:rPr>
          <w:rFonts w:eastAsia="Times New Roman" w:cstheme="minorHAnsi"/>
          <w:lang w:eastAsia="en-GB"/>
        </w:rPr>
      </w:pPr>
    </w:p>
    <w:p w14:paraId="4DF028CC" w14:textId="6338D9BE"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 child is, or is believed to be, sexually active and is under 13</w:t>
      </w:r>
    </w:p>
    <w:p w14:paraId="1159F048" w14:textId="5A94EFC5"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 young person is currently 13 or over but sexual activity took place when they were 12 or under</w:t>
      </w:r>
    </w:p>
    <w:p w14:paraId="4263B4C0" w14:textId="32216E5C"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there is evidence or indication that the young person is involved in pornography or prostitution</w:t>
      </w:r>
    </w:p>
    <w:p w14:paraId="061A053E" w14:textId="00B6DBB2"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 xml:space="preserve">f the 'other person' is in a position of trust in relation to the young person </w:t>
      </w:r>
    </w:p>
    <w:p w14:paraId="2F47C6AF" w14:textId="7908CF20" w:rsidR="006C4B2C" w:rsidRPr="00CB1BD1" w:rsidRDefault="00743C98" w:rsidP="00C22BA0">
      <w:pPr>
        <w:numPr>
          <w:ilvl w:val="0"/>
          <w:numId w:val="9"/>
        </w:numPr>
        <w:tabs>
          <w:tab w:val="left" w:pos="1620"/>
        </w:tabs>
        <w:spacing w:after="0" w:line="240" w:lineRule="auto"/>
        <w:ind w:left="1080" w:right="-180" w:firstLine="0"/>
        <w:contextualSpacing/>
        <w:jc w:val="both"/>
        <w:rPr>
          <w:rFonts w:eastAsia="Times New Roman" w:cstheme="minorHAnsi"/>
        </w:rPr>
      </w:pPr>
      <w:r>
        <w:rPr>
          <w:rFonts w:eastAsia="Times New Roman" w:cstheme="minorHAnsi"/>
        </w:rPr>
        <w:t>I</w:t>
      </w:r>
      <w:r w:rsidR="006C4B2C" w:rsidRPr="00CB1BD1">
        <w:rPr>
          <w:rFonts w:eastAsia="Times New Roman" w:cstheme="minorHAnsi"/>
        </w:rPr>
        <w:t>f the ‘other person’ is over the age of 18</w:t>
      </w:r>
      <w:r>
        <w:rPr>
          <w:rFonts w:eastAsia="Times New Roman" w:cstheme="minorHAnsi"/>
        </w:rPr>
        <w:t>.</w:t>
      </w:r>
    </w:p>
    <w:p w14:paraId="6F9DF306" w14:textId="77777777" w:rsidR="006C4B2C" w:rsidRPr="00CB1BD1" w:rsidRDefault="006C4B2C" w:rsidP="00C22BA0">
      <w:pPr>
        <w:spacing w:after="0" w:line="240" w:lineRule="auto"/>
        <w:ind w:left="1080" w:right="-180"/>
        <w:jc w:val="both"/>
        <w:rPr>
          <w:rFonts w:eastAsia="Times New Roman" w:cstheme="minorHAnsi"/>
          <w:lang w:eastAsia="en-GB"/>
        </w:rPr>
      </w:pPr>
    </w:p>
    <w:p w14:paraId="33530D04" w14:textId="77777777" w:rsidR="00175D42" w:rsidRDefault="00175D42" w:rsidP="00C22BA0">
      <w:pPr>
        <w:spacing w:after="0" w:line="240" w:lineRule="auto"/>
        <w:ind w:left="1080" w:right="-180"/>
        <w:jc w:val="both"/>
        <w:rPr>
          <w:rFonts w:eastAsia="Times New Roman" w:cstheme="minorHAnsi"/>
          <w:b/>
          <w:bCs/>
          <w:lang w:eastAsia="en-GB"/>
        </w:rPr>
      </w:pPr>
    </w:p>
    <w:p w14:paraId="19812A03" w14:textId="090CB662" w:rsidR="006C4B2C"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b/>
          <w:bCs/>
          <w:lang w:eastAsia="en-GB"/>
        </w:rPr>
        <w:t>Sexual Activity – Under 13 years</w:t>
      </w:r>
      <w:r w:rsidRPr="00CB1BD1">
        <w:rPr>
          <w:rFonts w:eastAsia="Times New Roman" w:cstheme="minorHAnsi"/>
          <w:lang w:eastAsia="en-GB"/>
        </w:rPr>
        <w:t>:</w:t>
      </w:r>
    </w:p>
    <w:p w14:paraId="1E85AB7C"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Children under 13 cannot legally give their consent to any form of sexual activity.</w:t>
      </w:r>
    </w:p>
    <w:p w14:paraId="0910692D" w14:textId="77777777" w:rsidR="006C4B2C" w:rsidRPr="00CB1BD1" w:rsidRDefault="006C4B2C" w:rsidP="00C22BA0">
      <w:pPr>
        <w:spacing w:after="0" w:line="240" w:lineRule="auto"/>
        <w:ind w:left="1080" w:right="-180"/>
        <w:jc w:val="both"/>
        <w:rPr>
          <w:rFonts w:eastAsia="Times New Roman" w:cstheme="minorHAnsi"/>
          <w:i/>
          <w:iCs/>
          <w:lang w:eastAsia="en-GB"/>
        </w:rPr>
      </w:pPr>
    </w:p>
    <w:p w14:paraId="559F8E81"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If the underage sexual activity involves a child under the age of 13, or the activity took place when they were 12 or under, the concerns </w:t>
      </w:r>
      <w:r w:rsidRPr="00CB1BD1">
        <w:rPr>
          <w:rFonts w:eastAsia="Times New Roman" w:cstheme="minorHAnsi"/>
          <w:b/>
          <w:bCs/>
          <w:lang w:eastAsia="en-GB"/>
        </w:rPr>
        <w:t xml:space="preserve">must </w:t>
      </w:r>
      <w:r w:rsidRPr="00CB1BD1">
        <w:rPr>
          <w:rFonts w:eastAsia="Times New Roman" w:cstheme="minorHAnsi"/>
          <w:lang w:eastAsia="en-GB"/>
        </w:rPr>
        <w:t>be passed on to the police in line with child protection procedures.</w:t>
      </w:r>
    </w:p>
    <w:p w14:paraId="652ADCAD" w14:textId="77777777" w:rsidR="006C4B2C" w:rsidRPr="00CB1BD1" w:rsidRDefault="006C4B2C" w:rsidP="00C22BA0">
      <w:pPr>
        <w:spacing w:after="0" w:line="240" w:lineRule="auto"/>
        <w:ind w:left="1080" w:right="-180"/>
        <w:jc w:val="both"/>
        <w:rPr>
          <w:rFonts w:eastAsia="Times New Roman" w:cstheme="minorHAnsi"/>
          <w:lang w:eastAsia="en-GB"/>
        </w:rPr>
      </w:pPr>
    </w:p>
    <w:p w14:paraId="4B486FD6" w14:textId="77777777" w:rsidR="00175D42" w:rsidRDefault="00175D42" w:rsidP="00C22BA0">
      <w:pPr>
        <w:spacing w:after="0" w:line="240" w:lineRule="auto"/>
        <w:ind w:left="1080" w:right="-180"/>
        <w:jc w:val="both"/>
        <w:rPr>
          <w:rFonts w:eastAsia="Times New Roman" w:cstheme="minorHAnsi"/>
          <w:b/>
          <w:bCs/>
          <w:lang w:eastAsia="en-GB"/>
        </w:rPr>
      </w:pPr>
      <w:bookmarkStart w:id="0" w:name="_Hlk49422330"/>
    </w:p>
    <w:p w14:paraId="75F23F36" w14:textId="035BC167" w:rsidR="006C4B2C" w:rsidRDefault="006C4B2C" w:rsidP="00C22BA0">
      <w:pPr>
        <w:spacing w:after="0" w:line="240" w:lineRule="auto"/>
        <w:ind w:left="1080" w:right="-180"/>
        <w:jc w:val="both"/>
        <w:rPr>
          <w:rFonts w:eastAsia="Times New Roman" w:cstheme="minorHAnsi"/>
          <w:b/>
          <w:bCs/>
          <w:lang w:eastAsia="en-GB"/>
        </w:rPr>
      </w:pPr>
      <w:r w:rsidRPr="00CB1BD1">
        <w:rPr>
          <w:rFonts w:eastAsia="Times New Roman" w:cstheme="minorHAnsi"/>
          <w:b/>
          <w:bCs/>
          <w:lang w:eastAsia="en-GB"/>
        </w:rPr>
        <w:t>Sexual Activity – 13-15 years</w:t>
      </w:r>
    </w:p>
    <w:p w14:paraId="696FF400" w14:textId="67F30FE8"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The Scottish Government acknowledges that not every case of sexual activity in under-16s will have child protection concerns, but young people may still need support in relation to their sexual development and relationships. For more information see the </w:t>
      </w:r>
      <w:hyperlink r:id="rId11" w:history="1">
        <w:r w:rsidRPr="007102C8">
          <w:rPr>
            <w:rStyle w:val="Hyperlink"/>
            <w:rFonts w:eastAsia="Times New Roman" w:cstheme="minorHAnsi"/>
            <w:lang w:eastAsia="en-GB"/>
          </w:rPr>
          <w:t>National Guidance on ‘Under-age Sexual Activity: Meeting the Needs of Children and Young People and Identifying Child Protection Concerns’</w:t>
        </w:r>
      </w:hyperlink>
      <w:r w:rsidR="00505D05">
        <w:rPr>
          <w:rFonts w:eastAsia="Times New Roman" w:cstheme="minorHAnsi"/>
          <w:lang w:eastAsia="en-GB"/>
        </w:rPr>
        <w:t>.</w:t>
      </w:r>
    </w:p>
    <w:p w14:paraId="0D4282BA" w14:textId="77777777" w:rsidR="007102C8" w:rsidRDefault="007102C8" w:rsidP="00C22BA0">
      <w:pPr>
        <w:spacing w:after="0" w:line="240" w:lineRule="auto"/>
        <w:ind w:left="1080" w:right="-180"/>
        <w:jc w:val="both"/>
        <w:rPr>
          <w:rFonts w:eastAsia="Times New Roman" w:cstheme="minorHAnsi"/>
          <w:lang w:eastAsia="en-GB"/>
        </w:rPr>
      </w:pPr>
    </w:p>
    <w:p w14:paraId="5493E1B5" w14:textId="66F2D782"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Whilst sexual activity between the ages of 13-15 is considered an offence, even if both parties’ consent, the guidance advises that where there are suspicions that underage sexual activity is taking place, a risk assessment of needs should be carried out in line with the Getting it Right for Every Child (GIRFEC) assessment. This may mean that information is collected through fact finding within the sport and then shared with other agencies who are best placed to assess the needs of the young people involved. This will help to ensure that the appropriate response is given. </w:t>
      </w:r>
    </w:p>
    <w:p w14:paraId="4846AF40" w14:textId="77777777" w:rsidR="006C4B2C" w:rsidRPr="00CB1BD1" w:rsidRDefault="006C4B2C" w:rsidP="00C22BA0">
      <w:pPr>
        <w:spacing w:after="0" w:line="240" w:lineRule="auto"/>
        <w:ind w:left="1080" w:right="-180"/>
        <w:jc w:val="both"/>
        <w:rPr>
          <w:rFonts w:eastAsia="Times New Roman" w:cstheme="minorHAnsi"/>
          <w:lang w:eastAsia="en-GB"/>
        </w:rPr>
      </w:pPr>
    </w:p>
    <w:p w14:paraId="5ABE0390" w14:textId="053EEF4D"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Consideration should be given to whether the sexual behaviour and/or relationship may be abusive or exploitative and it is vital to remember that young people may not be able to identify this type of behaviour. The facts of the actual relationship should be looked at in order to consider the wider needs of the young person involved (such as consent, safe sex, birth control etc</w:t>
      </w:r>
      <w:r w:rsidR="00D92068">
        <w:rPr>
          <w:rFonts w:eastAsia="Times New Roman" w:cstheme="minorHAnsi"/>
          <w:lang w:eastAsia="en-GB"/>
        </w:rPr>
        <w:t>.</w:t>
      </w:r>
      <w:r w:rsidRPr="00CB1BD1">
        <w:rPr>
          <w:rFonts w:eastAsia="Times New Roman" w:cstheme="minorHAnsi"/>
          <w:lang w:eastAsia="en-GB"/>
        </w:rPr>
        <w:t>) and where the person carrying out the assessment of needs doesn’t know the people involved very well, information sharing must be encouraged to ensure that accurate assessment occurs (this may include speaking to education, social work, parents/carers etc</w:t>
      </w:r>
      <w:r w:rsidR="00C34154">
        <w:rPr>
          <w:rFonts w:eastAsia="Times New Roman" w:cstheme="minorHAnsi"/>
          <w:lang w:eastAsia="en-GB"/>
        </w:rPr>
        <w:t>.</w:t>
      </w:r>
      <w:r w:rsidRPr="00CB1BD1">
        <w:rPr>
          <w:rFonts w:eastAsia="Times New Roman" w:cstheme="minorHAnsi"/>
          <w:lang w:eastAsia="en-GB"/>
        </w:rPr>
        <w:t xml:space="preserve">). </w:t>
      </w:r>
    </w:p>
    <w:bookmarkEnd w:id="0"/>
    <w:p w14:paraId="469B98EF" w14:textId="77777777" w:rsidR="006C4B2C" w:rsidRPr="00CB1BD1" w:rsidRDefault="006C4B2C" w:rsidP="00C22BA0">
      <w:pPr>
        <w:spacing w:after="0" w:line="240" w:lineRule="auto"/>
        <w:ind w:left="1080" w:right="-180"/>
        <w:jc w:val="both"/>
        <w:rPr>
          <w:rFonts w:eastAsia="Times New Roman" w:cstheme="minorHAnsi"/>
          <w:b/>
          <w:bCs/>
          <w:lang w:eastAsia="en-GB"/>
        </w:rPr>
      </w:pPr>
    </w:p>
    <w:p w14:paraId="27FECBA3" w14:textId="77777777" w:rsidR="00C22BA0" w:rsidRDefault="00C22BA0" w:rsidP="00C22BA0">
      <w:pPr>
        <w:ind w:left="1080" w:right="-180"/>
        <w:rPr>
          <w:rFonts w:eastAsia="Times New Roman" w:cstheme="minorHAnsi"/>
          <w:b/>
          <w:bCs/>
          <w:lang w:eastAsia="en-GB"/>
        </w:rPr>
      </w:pPr>
      <w:r>
        <w:rPr>
          <w:rFonts w:eastAsia="Times New Roman" w:cstheme="minorHAnsi"/>
          <w:b/>
          <w:bCs/>
          <w:lang w:eastAsia="en-GB"/>
        </w:rPr>
        <w:br w:type="page"/>
      </w:r>
    </w:p>
    <w:p w14:paraId="5A46D8B2" w14:textId="5FE770EE" w:rsidR="006C4B2C" w:rsidRDefault="006C4B2C" w:rsidP="00C22BA0">
      <w:pPr>
        <w:spacing w:after="0" w:line="240" w:lineRule="auto"/>
        <w:ind w:left="1080" w:right="-180"/>
        <w:jc w:val="both"/>
        <w:rPr>
          <w:rFonts w:eastAsia="Times New Roman" w:cstheme="minorHAnsi"/>
          <w:b/>
          <w:bCs/>
          <w:lang w:eastAsia="en-GB"/>
        </w:rPr>
      </w:pPr>
      <w:r w:rsidRPr="00CB1BD1">
        <w:rPr>
          <w:rFonts w:eastAsia="Times New Roman" w:cstheme="minorHAnsi"/>
          <w:b/>
          <w:bCs/>
          <w:lang w:eastAsia="en-GB"/>
        </w:rPr>
        <w:lastRenderedPageBreak/>
        <w:t>Sexual Activity – 16-18 years</w:t>
      </w:r>
    </w:p>
    <w:p w14:paraId="311502E5" w14:textId="0B00CC55"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 age of consent to any form of sexual activity is 16 for both men and women, so any sexual activity between an adult and someone under 16 is a criminal offence. The age of consent is the same regardless of sex or sexual orientation.</w:t>
      </w:r>
    </w:p>
    <w:p w14:paraId="0E1CCDF5" w14:textId="77777777" w:rsidR="006C4B2C" w:rsidRPr="00CB1BD1" w:rsidRDefault="006C4B2C" w:rsidP="00C22BA0">
      <w:pPr>
        <w:spacing w:after="0" w:line="240" w:lineRule="auto"/>
        <w:ind w:left="1080" w:right="-180"/>
        <w:jc w:val="both"/>
        <w:rPr>
          <w:rFonts w:eastAsia="Times New Roman" w:cstheme="minorHAnsi"/>
          <w:i/>
          <w:iCs/>
          <w:lang w:eastAsia="en-GB"/>
        </w:rPr>
      </w:pPr>
    </w:p>
    <w:p w14:paraId="0215DD6A"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Over the age of 16, sexual activity is legal. However, consideration should always be given to whether the activity was consensual or if the young person has vulnerabilities and related needs which could impact consent. </w:t>
      </w:r>
    </w:p>
    <w:p w14:paraId="1BDBE1D5" w14:textId="77777777" w:rsidR="006C4B2C" w:rsidRPr="00CB1BD1" w:rsidRDefault="006C4B2C" w:rsidP="00C22BA0">
      <w:pPr>
        <w:spacing w:after="0" w:line="240" w:lineRule="auto"/>
        <w:ind w:left="1080" w:right="-180"/>
        <w:jc w:val="both"/>
        <w:rPr>
          <w:rFonts w:eastAsia="Times New Roman" w:cstheme="minorHAnsi"/>
          <w:lang w:eastAsia="en-GB"/>
        </w:rPr>
      </w:pPr>
    </w:p>
    <w:p w14:paraId="5D73764E" w14:textId="272BDCA1" w:rsidR="006C4B2C"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There should also be consideration given as to whether the ‘other person’ in the relationship is in a position of authority.</w:t>
      </w:r>
    </w:p>
    <w:p w14:paraId="318E7B95" w14:textId="5BA9EE4A" w:rsidR="006C4B2C" w:rsidRDefault="006C4B2C" w:rsidP="00393269">
      <w:pPr>
        <w:spacing w:after="0" w:line="240" w:lineRule="auto"/>
        <w:ind w:right="-180"/>
        <w:jc w:val="both"/>
        <w:rPr>
          <w:rFonts w:eastAsia="Times New Roman" w:cstheme="minorHAnsi"/>
          <w:lang w:eastAsia="en-GB"/>
        </w:rPr>
      </w:pPr>
    </w:p>
    <w:p w14:paraId="212777A8" w14:textId="77777777" w:rsidR="0007256A" w:rsidRPr="00CB1BD1" w:rsidRDefault="0007256A" w:rsidP="00393269">
      <w:pPr>
        <w:spacing w:after="0" w:line="240" w:lineRule="auto"/>
        <w:ind w:right="-180"/>
        <w:jc w:val="both"/>
        <w:rPr>
          <w:rFonts w:eastAsia="Times New Roman" w:cstheme="minorHAnsi"/>
          <w:lang w:eastAsia="en-GB"/>
        </w:rPr>
      </w:pPr>
    </w:p>
    <w:p w14:paraId="4227D686" w14:textId="3EAF5F14" w:rsidR="006C4B2C" w:rsidRDefault="006C4B2C" w:rsidP="00C22BA0">
      <w:pPr>
        <w:spacing w:after="0" w:line="240" w:lineRule="auto"/>
        <w:ind w:left="1080" w:right="-180"/>
        <w:jc w:val="both"/>
        <w:rPr>
          <w:rFonts w:eastAsia="Times New Roman" w:cstheme="minorHAnsi"/>
          <w:b/>
          <w:bCs/>
          <w:lang w:eastAsia="en-GB"/>
        </w:rPr>
      </w:pPr>
      <w:r w:rsidRPr="00CB1BD1">
        <w:rPr>
          <w:rFonts w:eastAsia="Times New Roman" w:cstheme="minorHAnsi"/>
          <w:b/>
          <w:bCs/>
          <w:lang w:eastAsia="en-GB"/>
        </w:rPr>
        <w:t>Sexual Activity – Position of Trust</w:t>
      </w:r>
    </w:p>
    <w:p w14:paraId="5EA490FE"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Sexual interactions between adults and young people (16+) involved in sport raise serious issues given the power imbalance inherent in the relationship. Where a young person is of the age of consent, the power of the adult over that young person may influence their ability to genuinely consent to sexual activity. A coach or other adult in a position of trust may have significant power or influence over a young person’s career.</w:t>
      </w:r>
    </w:p>
    <w:p w14:paraId="6A5B5B01" w14:textId="77777777" w:rsidR="006C4B2C" w:rsidRPr="00CB1BD1" w:rsidRDefault="006C4B2C" w:rsidP="00C22BA0">
      <w:pPr>
        <w:spacing w:after="0" w:line="240" w:lineRule="auto"/>
        <w:ind w:left="1080" w:right="-180"/>
        <w:jc w:val="both"/>
        <w:rPr>
          <w:rFonts w:eastAsia="Times New Roman" w:cstheme="minorHAnsi"/>
          <w:lang w:eastAsia="en-GB"/>
        </w:rPr>
      </w:pPr>
    </w:p>
    <w:p w14:paraId="4DBF236F" w14:textId="3277F701"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A person in a legally defined ‘position of trust’ who takes advantage of their position to develop an intimate relationship with a child/young person is committing a criminal offence known as ‘abuse of trust’.</w:t>
      </w:r>
      <w:r w:rsidR="00242D6D">
        <w:rPr>
          <w:rFonts w:eastAsia="Times New Roman" w:cstheme="minorHAnsi"/>
          <w:lang w:eastAsia="en-GB"/>
        </w:rPr>
        <w:t xml:space="preserve"> </w:t>
      </w:r>
      <w:r w:rsidRPr="00CB1BD1">
        <w:rPr>
          <w:rFonts w:eastAsia="Times New Roman" w:cstheme="minorHAnsi"/>
          <w:lang w:eastAsia="en-GB"/>
        </w:rPr>
        <w:t>Sports coaching is not currently defined in law as a ‘position of trust’ in Scotland, but the principle of the law should be followed and captured in club policies.</w:t>
      </w:r>
    </w:p>
    <w:p w14:paraId="38BF2CA5" w14:textId="77777777" w:rsidR="006C4B2C" w:rsidRPr="00CB1BD1" w:rsidRDefault="006C4B2C" w:rsidP="00C22BA0">
      <w:pPr>
        <w:spacing w:after="0" w:line="240" w:lineRule="auto"/>
        <w:ind w:left="1080" w:right="-180"/>
        <w:jc w:val="both"/>
        <w:rPr>
          <w:rFonts w:eastAsia="Times New Roman" w:cstheme="minorHAnsi"/>
          <w:lang w:eastAsia="en-GB"/>
        </w:rPr>
      </w:pPr>
    </w:p>
    <w:p w14:paraId="19208F2F" w14:textId="55656210"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Sexual activity between adults and young people (16+) involved in sport should be prohibited when the adult is in a position of trust or authority (coach, trainer, official).</w:t>
      </w:r>
      <w:r w:rsidR="00242D6D">
        <w:rPr>
          <w:rFonts w:eastAsia="Times New Roman" w:cstheme="minorHAnsi"/>
          <w:lang w:eastAsia="en-GB"/>
        </w:rPr>
        <w:t xml:space="preserve"> </w:t>
      </w:r>
      <w:r w:rsidRPr="00CB1BD1">
        <w:rPr>
          <w:rFonts w:eastAsia="Times New Roman" w:cstheme="minorHAnsi"/>
          <w:lang w:eastAsia="en-GB"/>
        </w:rPr>
        <w:t>This should be communicated clearly to adults in such positions at the outset and clear procedures drawn up to enable such a situation, should it arise, to be dealt with promptly, fairly and consistently.</w:t>
      </w:r>
    </w:p>
    <w:p w14:paraId="1121BE5E" w14:textId="77777777" w:rsidR="006C4B2C" w:rsidRPr="00CB1BD1" w:rsidRDefault="006C4B2C" w:rsidP="00C22BA0">
      <w:pPr>
        <w:spacing w:after="0" w:line="240" w:lineRule="auto"/>
        <w:ind w:left="1080" w:right="-180"/>
        <w:jc w:val="both"/>
        <w:rPr>
          <w:rFonts w:eastAsia="Times New Roman" w:cstheme="minorHAnsi"/>
          <w:lang w:eastAsia="en-GB"/>
        </w:rPr>
      </w:pPr>
    </w:p>
    <w:p w14:paraId="5690C9C7"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Inappropriate or criminal sexual behaviour committed by an adult will lead to suspension and disciplinary action, which in the case of criminal action will include contacting the police. Sexual activity between adults and children under the age of 16 is a criminal act and immediate action will be taken to report it to the police.</w:t>
      </w:r>
    </w:p>
    <w:p w14:paraId="0B99C8E3" w14:textId="77777777" w:rsidR="006C4B2C" w:rsidRPr="00CB1BD1" w:rsidRDefault="006C4B2C" w:rsidP="00C22BA0">
      <w:pPr>
        <w:spacing w:after="0" w:line="240" w:lineRule="auto"/>
        <w:ind w:left="1080" w:right="-180"/>
        <w:jc w:val="both"/>
        <w:rPr>
          <w:rFonts w:eastAsia="Times New Roman" w:cstheme="minorHAnsi"/>
          <w:lang w:eastAsia="en-GB"/>
        </w:rPr>
      </w:pPr>
    </w:p>
    <w:p w14:paraId="25BC6E07"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The notion of ‘positions of trust’ applies as much to young people in leadership roles as it does to adults.</w:t>
      </w:r>
    </w:p>
    <w:p w14:paraId="6BE6D34A" w14:textId="0E964C13" w:rsidR="00C22BA0" w:rsidRDefault="00C22BA0" w:rsidP="00393269">
      <w:pPr>
        <w:spacing w:after="0" w:line="240" w:lineRule="auto"/>
        <w:ind w:right="-180"/>
        <w:jc w:val="both"/>
        <w:rPr>
          <w:rFonts w:eastAsia="Times New Roman" w:cstheme="minorHAnsi"/>
          <w:b/>
          <w:lang w:eastAsia="en-GB"/>
        </w:rPr>
      </w:pPr>
    </w:p>
    <w:p w14:paraId="36F121C9" w14:textId="77777777" w:rsidR="0007256A" w:rsidRDefault="0007256A" w:rsidP="00393269">
      <w:pPr>
        <w:spacing w:after="0" w:line="240" w:lineRule="auto"/>
        <w:ind w:right="-180"/>
        <w:jc w:val="both"/>
        <w:rPr>
          <w:rFonts w:eastAsia="Times New Roman" w:cstheme="minorHAnsi"/>
          <w:b/>
          <w:lang w:eastAsia="en-GB"/>
        </w:rPr>
      </w:pPr>
    </w:p>
    <w:p w14:paraId="4F15918A" w14:textId="54970BE8" w:rsidR="006C4B2C" w:rsidRDefault="006C4B2C" w:rsidP="00C22BA0">
      <w:pPr>
        <w:spacing w:after="0" w:line="240" w:lineRule="auto"/>
        <w:ind w:left="1080" w:right="-180"/>
        <w:jc w:val="both"/>
        <w:rPr>
          <w:rFonts w:eastAsia="Times New Roman" w:cstheme="minorHAnsi"/>
          <w:b/>
          <w:lang w:eastAsia="en-GB"/>
        </w:rPr>
      </w:pPr>
      <w:r w:rsidRPr="00CB1BD1">
        <w:rPr>
          <w:rFonts w:eastAsia="Times New Roman" w:cstheme="minorHAnsi"/>
          <w:b/>
          <w:lang w:eastAsia="en-GB"/>
        </w:rPr>
        <w:t>Grooming</w:t>
      </w:r>
    </w:p>
    <w:p w14:paraId="2676C2D3" w14:textId="77777777" w:rsidR="006C4B2C" w:rsidRPr="00CB1BD1"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Most adults involved in sport with children participate with the aim of providing a fun and positive experience for the children taking part. However, a small minority may use sport as a way of gaining access to children with the purpose of developing inappropriate intimate relationships. </w:t>
      </w:r>
    </w:p>
    <w:p w14:paraId="351CE588" w14:textId="77777777" w:rsidR="006C4B2C" w:rsidRPr="00CB1BD1" w:rsidRDefault="006C4B2C" w:rsidP="00C22BA0">
      <w:pPr>
        <w:spacing w:after="0" w:line="240" w:lineRule="auto"/>
        <w:ind w:left="1080" w:right="-180"/>
        <w:jc w:val="both"/>
        <w:rPr>
          <w:rFonts w:eastAsia="Times New Roman" w:cstheme="minorHAnsi"/>
          <w:lang w:eastAsia="en-GB"/>
        </w:rPr>
      </w:pPr>
    </w:p>
    <w:p w14:paraId="309E53D2" w14:textId="040C930C" w:rsidR="006C4B2C" w:rsidRDefault="006C4B2C" w:rsidP="00C22BA0">
      <w:pPr>
        <w:spacing w:after="0" w:line="240" w:lineRule="auto"/>
        <w:ind w:left="1080" w:right="-180"/>
        <w:jc w:val="both"/>
        <w:rPr>
          <w:rFonts w:eastAsia="Times New Roman" w:cstheme="minorHAnsi"/>
          <w:lang w:eastAsia="en-GB"/>
        </w:rPr>
      </w:pPr>
      <w:r w:rsidRPr="00CB1BD1">
        <w:rPr>
          <w:rFonts w:eastAsia="Times New Roman" w:cstheme="minorHAnsi"/>
          <w:lang w:eastAsia="en-GB"/>
        </w:rPr>
        <w:t xml:space="preserve">People who commit sexual offences against children often first gain the trust of people around the child, such as their family and friends and those involved in sport. Those who commit offences work hard to portray themselves as caring and trustworthy and they befriend their victims to break down barriers before an offence may be committed. </w:t>
      </w:r>
    </w:p>
    <w:p w14:paraId="7171D320" w14:textId="77777777" w:rsidR="0007256A" w:rsidRPr="00CB1BD1" w:rsidRDefault="0007256A" w:rsidP="00C22BA0">
      <w:pPr>
        <w:spacing w:after="0" w:line="240" w:lineRule="auto"/>
        <w:ind w:left="1080" w:right="-180"/>
        <w:jc w:val="both"/>
        <w:rPr>
          <w:rFonts w:eastAsia="Times New Roman" w:cstheme="minorHAnsi"/>
          <w:lang w:eastAsia="en-GB"/>
        </w:rPr>
      </w:pPr>
    </w:p>
    <w:p w14:paraId="2806E1A1" w14:textId="4C774F57" w:rsidR="00D231B7" w:rsidRPr="00CB1BD1" w:rsidRDefault="006C4B2C" w:rsidP="0095152A">
      <w:pPr>
        <w:spacing w:after="0" w:line="240" w:lineRule="auto"/>
        <w:ind w:left="1080" w:right="-180"/>
        <w:jc w:val="both"/>
        <w:rPr>
          <w:rFonts w:cstheme="minorHAnsi"/>
        </w:rPr>
      </w:pPr>
      <w:r w:rsidRPr="00CB1BD1">
        <w:rPr>
          <w:rFonts w:eastAsia="Times New Roman" w:cstheme="minorHAnsi"/>
          <w:lang w:eastAsia="en-GB"/>
        </w:rPr>
        <w:t>This is referred to as ‘grooming’. This predatory behaviour is an offence and may be prosecuted separately to direct sexual abuse. Any suspicions of grooming should be reported to police.</w:t>
      </w:r>
      <w:r w:rsidR="00242D6D">
        <w:rPr>
          <w:rFonts w:eastAsia="Times New Roman" w:cstheme="minorHAnsi"/>
          <w:lang w:eastAsia="en-GB"/>
        </w:rPr>
        <w:t xml:space="preserve"> </w:t>
      </w:r>
      <w:r w:rsidRPr="00CB1BD1">
        <w:rPr>
          <w:rFonts w:eastAsia="Times New Roman" w:cstheme="minorHAnsi"/>
          <w:lang w:eastAsia="en-GB"/>
        </w:rPr>
        <w:t xml:space="preserve">For more information about </w:t>
      </w:r>
      <w:r w:rsidR="000C05FF">
        <w:rPr>
          <w:rFonts w:eastAsia="Times New Roman" w:cstheme="minorHAnsi"/>
          <w:lang w:eastAsia="en-GB"/>
        </w:rPr>
        <w:t>g</w:t>
      </w:r>
      <w:r w:rsidRPr="00CB1BD1">
        <w:rPr>
          <w:rFonts w:eastAsia="Times New Roman" w:cstheme="minorHAnsi"/>
          <w:lang w:eastAsia="en-GB"/>
        </w:rPr>
        <w:t xml:space="preserve">rooming please reference </w:t>
      </w:r>
      <w:r w:rsidRPr="00205770">
        <w:rPr>
          <w:rFonts w:eastAsia="Times New Roman" w:cstheme="minorHAnsi"/>
          <w:color w:val="000000" w:themeColor="text1"/>
          <w:lang w:eastAsia="en-GB"/>
        </w:rPr>
        <w:t xml:space="preserve">the </w:t>
      </w:r>
      <w:r w:rsidR="005C0DCD">
        <w:rPr>
          <w:rFonts w:eastAsia="Times New Roman" w:cstheme="minorHAnsi"/>
          <w:color w:val="000000" w:themeColor="text1"/>
          <w:lang w:eastAsia="en-GB"/>
        </w:rPr>
        <w:t>Children First</w:t>
      </w:r>
      <w:r w:rsidRPr="00205770">
        <w:rPr>
          <w:rFonts w:eastAsia="Times New Roman" w:cstheme="minorHAnsi"/>
          <w:color w:val="000000" w:themeColor="text1"/>
          <w:lang w:eastAsia="en-GB"/>
        </w:rPr>
        <w:t xml:space="preserve"> briefing on </w:t>
      </w:r>
      <w:r w:rsidR="000C05FF">
        <w:rPr>
          <w:rFonts w:eastAsia="Times New Roman" w:cstheme="minorHAnsi"/>
          <w:color w:val="000000" w:themeColor="text1"/>
          <w:lang w:eastAsia="en-GB"/>
        </w:rPr>
        <w:t>g</w:t>
      </w:r>
      <w:r w:rsidRPr="00205770">
        <w:rPr>
          <w:rFonts w:eastAsia="Times New Roman" w:cstheme="minorHAnsi"/>
          <w:color w:val="000000" w:themeColor="text1"/>
          <w:lang w:eastAsia="en-GB"/>
        </w:rPr>
        <w:t>rooming</w:t>
      </w:r>
      <w:r w:rsidR="00205770">
        <w:rPr>
          <w:rFonts w:eastAsia="Times New Roman" w:cstheme="minorHAnsi"/>
          <w:color w:val="000000" w:themeColor="text1"/>
          <w:lang w:eastAsia="en-GB"/>
        </w:rPr>
        <w:t xml:space="preserve"> on the CWPS website (see footer).</w:t>
      </w:r>
    </w:p>
    <w:sectPr w:rsidR="00D231B7" w:rsidRPr="00CB1BD1" w:rsidSect="0007256A">
      <w:headerReference w:type="default" r:id="rId12"/>
      <w:footerReference w:type="default" r:id="rId13"/>
      <w:pgSz w:w="11906" w:h="16838"/>
      <w:pgMar w:top="1389" w:right="1196" w:bottom="1260"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2F03" w14:textId="77777777" w:rsidR="00F56A98" w:rsidRDefault="00F56A98" w:rsidP="0013647B">
      <w:pPr>
        <w:spacing w:after="0" w:line="240" w:lineRule="auto"/>
      </w:pPr>
      <w:r>
        <w:separator/>
      </w:r>
    </w:p>
  </w:endnote>
  <w:endnote w:type="continuationSeparator" w:id="0">
    <w:p w14:paraId="7456F6CC" w14:textId="77777777" w:rsidR="00F56A98" w:rsidRDefault="00F56A98" w:rsidP="0013647B">
      <w:pPr>
        <w:spacing w:after="0" w:line="240" w:lineRule="auto"/>
      </w:pPr>
      <w:r>
        <w:continuationSeparator/>
      </w:r>
    </w:p>
  </w:endnote>
  <w:endnote w:type="continuationNotice" w:id="1">
    <w:p w14:paraId="0575B64C" w14:textId="77777777" w:rsidR="00F56A98" w:rsidRDefault="00F56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CDD2" w14:textId="1AC4B801" w:rsidR="0013647B" w:rsidRPr="005B0296" w:rsidRDefault="008C41EB" w:rsidP="0095152A">
    <w:pPr>
      <w:rPr>
        <w:color w:val="FFFFFF" w:themeColor="background1"/>
      </w:rPr>
    </w:pPr>
    <w:r>
      <w:rPr>
        <w:noProof/>
        <w:color w:val="FFFFFF" w:themeColor="background1"/>
      </w:rPr>
      <mc:AlternateContent>
        <mc:Choice Requires="wps">
          <w:drawing>
            <wp:anchor distT="0" distB="0" distL="114300" distR="114300" simplePos="0" relativeHeight="251661311" behindDoc="0" locked="0" layoutInCell="1" allowOverlap="1" wp14:anchorId="59747AF6" wp14:editId="3CCA0A0D">
              <wp:simplePos x="0" y="0"/>
              <wp:positionH relativeFrom="page">
                <wp:posOffset>7315</wp:posOffset>
              </wp:positionH>
              <wp:positionV relativeFrom="bottomMargin">
                <wp:align>top</wp:align>
              </wp:positionV>
              <wp:extent cx="7549287" cy="804621"/>
              <wp:effectExtent l="0" t="0" r="13970" b="14605"/>
              <wp:wrapNone/>
              <wp:docPr id="1526774635" name="Rectangle 4"/>
              <wp:cNvGraphicFramePr/>
              <a:graphic xmlns:a="http://schemas.openxmlformats.org/drawingml/2006/main">
                <a:graphicData uri="http://schemas.microsoft.com/office/word/2010/wordprocessingShape">
                  <wps:wsp>
                    <wps:cNvSpPr/>
                    <wps:spPr>
                      <a:xfrm>
                        <a:off x="0" y="0"/>
                        <a:ext cx="7549287" cy="804621"/>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F06E6A" w14:textId="77777777" w:rsidR="00733E55" w:rsidRDefault="00733E55" w:rsidP="00733E55">
                          <w:pPr>
                            <w:pStyle w:val="Footer"/>
                            <w:jc w:val="center"/>
                            <w:rPr>
                              <w:color w:val="FFFFFF" w:themeColor="background1"/>
                            </w:rPr>
                          </w:pPr>
                          <w:r>
                            <w:rPr>
                              <w:color w:val="FFFFFF" w:themeColor="background1"/>
                            </w:rPr>
                            <w:t xml:space="preserve">W: </w:t>
                          </w:r>
                          <w:hyperlink r:id="rId1" w:history="1">
                            <w:r>
                              <w:rPr>
                                <w:rStyle w:val="Hyperlink"/>
                              </w:rPr>
                              <w:t>www.childrenfirst.org.uk/for-professionals/child-wellbeing-and-protection-in-sport/</w:t>
                            </w:r>
                          </w:hyperlink>
                          <w:r>
                            <w:rPr>
                              <w:color w:val="FFFFFF" w:themeColor="background1"/>
                            </w:rPr>
                            <w:t xml:space="preserve"> | </w:t>
                          </w:r>
                        </w:p>
                        <w:p w14:paraId="7BC89C3D" w14:textId="77777777" w:rsidR="00733E55" w:rsidRDefault="00733E55" w:rsidP="00733E55">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30AB7591" w14:textId="77777777" w:rsidR="00733E55" w:rsidRDefault="00733E55" w:rsidP="00733E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47AF6" id="Rectangle 4" o:spid="_x0000_s1027" style="position:absolute;margin-left:.6pt;margin-top:0;width:594.45pt;height:63.35pt;z-index:251661311;visibility:visible;mso-wrap-style:square;mso-height-percent:0;mso-wrap-distance-left:9pt;mso-wrap-distance-top:0;mso-wrap-distance-right:9pt;mso-wrap-distance-bottom:0;mso-position-horizontal:absolute;mso-position-horizontal-relative:page;mso-position-vertical:top;mso-position-vertical-relative:bottom-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" fillcolor="#002060" strokecolor="#002060" strokeweight="1pt">
              <v:textbox>
                <w:txbxContent>
                  <w:p w14:paraId="2DF06E6A" w14:textId="77777777" w:rsidR="00733E55" w:rsidRDefault="00733E55" w:rsidP="00733E55">
                    <w:pPr>
                      <w:pStyle w:val="Footer"/>
                      <w:jc w:val="center"/>
                      <w:rPr>
                        <w:color w:val="FFFFFF" w:themeColor="background1"/>
                      </w:rPr>
                    </w:pPr>
                    <w:r>
                      <w:rPr>
                        <w:color w:val="FFFFFF" w:themeColor="background1"/>
                      </w:rPr>
                      <w:t xml:space="preserve">W: </w:t>
                    </w:r>
                    <w:hyperlink r:id="rId2" w:history="1">
                      <w:r>
                        <w:rPr>
                          <w:rStyle w:val="Hyperlink"/>
                        </w:rPr>
                        <w:t>www.childrenfirst.org.uk/for-professionals/child-wellbeing-and-protection-in-sport/</w:t>
                      </w:r>
                    </w:hyperlink>
                    <w:r>
                      <w:rPr>
                        <w:color w:val="FFFFFF" w:themeColor="background1"/>
                      </w:rPr>
                      <w:t xml:space="preserve"> | </w:t>
                    </w:r>
                  </w:p>
                  <w:p w14:paraId="7BC89C3D" w14:textId="77777777" w:rsidR="00733E55" w:rsidRDefault="00733E55" w:rsidP="00733E55">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30AB7591" w14:textId="77777777" w:rsidR="00733E55" w:rsidRDefault="00733E55" w:rsidP="00733E55">
                    <w:pPr>
                      <w:jc w:val="center"/>
                    </w:pPr>
                  </w:p>
                </w:txbxContent>
              </v:textbox>
              <w10:wrap anchorx="page" anchory="margin"/>
            </v:rect>
          </w:pict>
        </mc:Fallback>
      </mc:AlternateContent>
    </w:r>
    <w:proofErr w:type="spellStart"/>
    <w:r w:rsidR="0013647B" w:rsidRPr="005B0296">
      <w:rPr>
        <w:color w:val="FFFFFF" w:themeColor="background1"/>
      </w:rPr>
      <w:t>afeguarding</w:t>
    </w:r>
    <w:proofErr w:type="spellEnd"/>
    <w:r w:rsidR="0013647B" w:rsidRPr="005B0296">
      <w:rPr>
        <w:color w:val="FFFFFF" w:themeColor="background1"/>
      </w:rPr>
      <w:t xml:space="preserve"> in Sport – Appo</w:t>
    </w:r>
    <w:r w:rsidR="007E7F65" w:rsidRPr="007E7F65">
      <w:t xml:space="preserve"> </w:t>
    </w:r>
    <w:r w:rsidR="0013647B" w:rsidRPr="005B0296">
      <w:rPr>
        <w:color w:val="FFFFFF" w:themeColor="background1"/>
      </w:rPr>
      <w:t>ting a Child Wellbeing &amp; Protection Officer</w:t>
    </w:r>
  </w:p>
  <w:p w14:paraId="0E0FA2F3" w14:textId="31FF5866"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66BB" w14:textId="77777777" w:rsidR="00F56A98" w:rsidRDefault="00F56A98" w:rsidP="0013647B">
      <w:pPr>
        <w:spacing w:after="0" w:line="240" w:lineRule="auto"/>
      </w:pPr>
      <w:r>
        <w:separator/>
      </w:r>
    </w:p>
  </w:footnote>
  <w:footnote w:type="continuationSeparator" w:id="0">
    <w:p w14:paraId="701042A0" w14:textId="77777777" w:rsidR="00F56A98" w:rsidRDefault="00F56A98" w:rsidP="0013647B">
      <w:pPr>
        <w:spacing w:after="0" w:line="240" w:lineRule="auto"/>
      </w:pPr>
      <w:r>
        <w:continuationSeparator/>
      </w:r>
    </w:p>
  </w:footnote>
  <w:footnote w:type="continuationNotice" w:id="1">
    <w:p w14:paraId="30026D9D" w14:textId="77777777" w:rsidR="00F56A98" w:rsidRDefault="00F56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7631956C" w:rsidR="005B0296" w:rsidRDefault="008C41EB">
    <w:pPr>
      <w:pStyle w:val="Header"/>
    </w:pPr>
    <w:r>
      <w:rPr>
        <w:noProof/>
        <w:color w:val="FFFFFF" w:themeColor="background1"/>
      </w:rPr>
      <w:drawing>
        <wp:anchor distT="0" distB="0" distL="114300" distR="114300" simplePos="0" relativeHeight="251663360" behindDoc="0" locked="0" layoutInCell="1" allowOverlap="1" wp14:anchorId="673E4B31" wp14:editId="63D57803">
          <wp:simplePos x="0" y="0"/>
          <wp:positionH relativeFrom="page">
            <wp:align>center</wp:align>
          </wp:positionH>
          <wp:positionV relativeFrom="page">
            <wp:posOffset>191262</wp:posOffset>
          </wp:positionV>
          <wp:extent cx="2033625" cy="483817"/>
          <wp:effectExtent l="0" t="0" r="5080" b="0"/>
          <wp:wrapTight wrapText="bothSides">
            <wp:wrapPolygon edited="0">
              <wp:start x="2024" y="0"/>
              <wp:lineTo x="202" y="13624"/>
              <wp:lineTo x="0" y="17882"/>
              <wp:lineTo x="0" y="20436"/>
              <wp:lineTo x="21452" y="20436"/>
              <wp:lineTo x="21452" y="17030"/>
              <wp:lineTo x="20844" y="13624"/>
              <wp:lineTo x="21249" y="3406"/>
              <wp:lineTo x="18214" y="852"/>
              <wp:lineTo x="3440" y="0"/>
              <wp:lineTo x="2024" y="0"/>
            </wp:wrapPolygon>
          </wp:wrapTight>
          <wp:docPr id="115845809" name="Picture 3"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5809" name="Picture 3"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3625" cy="483817"/>
                  </a:xfrm>
                  <a:prstGeom prst="rect">
                    <a:avLst/>
                  </a:prstGeom>
                </pic:spPr>
              </pic:pic>
            </a:graphicData>
          </a:graphic>
          <wp14:sizeRelH relativeFrom="margin">
            <wp14:pctWidth>0</wp14:pctWidth>
          </wp14:sizeRelH>
          <wp14:sizeRelV relativeFrom="margin">
            <wp14:pctHeight>0</wp14:pctHeight>
          </wp14:sizeRelV>
        </wp:anchor>
      </w:drawing>
    </w:r>
    <w:r w:rsidR="00F97B01" w:rsidRPr="00E4575A">
      <w:rPr>
        <w:noProof/>
        <w:color w:val="FFFFFF" w:themeColor="background1"/>
      </w:rPr>
      <mc:AlternateContent>
        <mc:Choice Requires="wps">
          <w:drawing>
            <wp:anchor distT="45720" distB="45720" distL="114300" distR="114300" simplePos="0" relativeHeight="251660288" behindDoc="1" locked="0" layoutInCell="1" allowOverlap="1" wp14:anchorId="47A21A47" wp14:editId="26288834">
              <wp:simplePos x="0" y="0"/>
              <wp:positionH relativeFrom="margin">
                <wp:posOffset>0</wp:posOffset>
              </wp:positionH>
              <wp:positionV relativeFrom="page">
                <wp:posOffset>-314325</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6208077E" w14:textId="52CC18CF" w:rsidR="00F97B01" w:rsidRPr="00172F5A" w:rsidRDefault="00F97B01" w:rsidP="00F97B0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242D6D">
                            <w:rPr>
                              <w:color w:val="FFFFFF" w:themeColor="background1"/>
                            </w:rPr>
                            <w:t xml:space="preserve"> </w:t>
                          </w:r>
                          <w:r>
                            <w:rPr>
                              <w:color w:val="FFFFFF" w:themeColor="background1"/>
                            </w:rPr>
                            <w:t>|</w:t>
                          </w:r>
                          <w:r w:rsidR="00242D6D">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242D6D">
                            <w:rPr>
                              <w:color w:val="FFFFFF" w:themeColor="background1"/>
                            </w:rPr>
                            <w:t xml:space="preserve"> </w:t>
                          </w:r>
                          <w:r w:rsidRPr="00172F5A">
                            <w:rPr>
                              <w:color w:val="FFFFFF" w:themeColor="background1"/>
                            </w:rPr>
                            <w:t>|</w:t>
                          </w:r>
                          <w:r w:rsidR="00242D6D">
                            <w:rPr>
                              <w:color w:val="FFFFFF" w:themeColor="background1"/>
                            </w:rPr>
                            <w:t xml:space="preserve"> </w:t>
                          </w:r>
                          <w:r w:rsidRPr="00172F5A">
                            <w:rPr>
                              <w:color w:val="FFFFFF" w:themeColor="background1"/>
                            </w:rPr>
                            <w:t xml:space="preserve">P: </w:t>
                          </w:r>
                          <w:r>
                            <w:rPr>
                              <w:color w:val="FFFFFF" w:themeColor="background1"/>
                            </w:rPr>
                            <w:t>0141 419 1156</w:t>
                          </w:r>
                        </w:p>
                        <w:p w14:paraId="69145A64" w14:textId="77777777" w:rsidR="00F97B01" w:rsidRPr="00172F5A" w:rsidRDefault="00F97B01" w:rsidP="00F97B0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21A47" id="_x0000_t202" coordsize="21600,21600" o:spt="202" path="m,l,21600r21600,l21600,xe">
              <v:stroke joinstyle="miter"/>
              <v:path gradientshapeok="t" o:connecttype="rect"/>
            </v:shapetype>
            <v:shape id="Text Box 2" o:spid="_x0000_s1026" type="#_x0000_t202" style="position:absolute;margin-left:0;margin-top:-24.75pt;width:546.75pt;height:2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" filled="f" stroked="f">
              <v:textbox>
                <w:txbxContent>
                  <w:p w14:paraId="6208077E" w14:textId="52CC18CF" w:rsidR="00F97B01" w:rsidRPr="00172F5A" w:rsidRDefault="00F97B01" w:rsidP="00F97B0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242D6D">
                      <w:rPr>
                        <w:color w:val="FFFFFF" w:themeColor="background1"/>
                      </w:rPr>
                      <w:t xml:space="preserve"> </w:t>
                    </w:r>
                    <w:r>
                      <w:rPr>
                        <w:color w:val="FFFFFF" w:themeColor="background1"/>
                      </w:rPr>
                      <w:t>|</w:t>
                    </w:r>
                    <w:r w:rsidR="00242D6D">
                      <w:rPr>
                        <w:color w:val="FFFFFF" w:themeColor="background1"/>
                      </w:rPr>
                      <w:t xml:space="preserve"> </w:t>
                    </w:r>
                    <w:r>
                      <w:rPr>
                        <w:color w:val="FFFFFF" w:themeColor="background1"/>
                      </w:rPr>
                      <w:t xml:space="preserve">E: </w:t>
                    </w:r>
                    <w:hyperlink r:id="rId3" w:history="1">
                      <w:r w:rsidRPr="005846C7">
                        <w:rPr>
                          <w:rStyle w:val="Hyperlink"/>
                        </w:rPr>
                        <w:t>CWPS@children1st.org.uk</w:t>
                      </w:r>
                    </w:hyperlink>
                    <w:r w:rsidR="00242D6D">
                      <w:rPr>
                        <w:color w:val="FFFFFF" w:themeColor="background1"/>
                      </w:rPr>
                      <w:t xml:space="preserve"> </w:t>
                    </w:r>
                    <w:r w:rsidRPr="00172F5A">
                      <w:rPr>
                        <w:color w:val="FFFFFF" w:themeColor="background1"/>
                      </w:rPr>
                      <w:t>|</w:t>
                    </w:r>
                    <w:r w:rsidR="00242D6D">
                      <w:rPr>
                        <w:color w:val="FFFFFF" w:themeColor="background1"/>
                      </w:rPr>
                      <w:t xml:space="preserve"> </w:t>
                    </w:r>
                    <w:r w:rsidRPr="00172F5A">
                      <w:rPr>
                        <w:color w:val="FFFFFF" w:themeColor="background1"/>
                      </w:rPr>
                      <w:t xml:space="preserve">P: </w:t>
                    </w:r>
                    <w:r>
                      <w:rPr>
                        <w:color w:val="FFFFFF" w:themeColor="background1"/>
                      </w:rPr>
                      <w:t>0141 419 1156</w:t>
                    </w:r>
                  </w:p>
                  <w:p w14:paraId="69145A64" w14:textId="77777777" w:rsidR="00F97B01" w:rsidRPr="00172F5A" w:rsidRDefault="00F97B01" w:rsidP="00F97B01">
                    <w:pPr>
                      <w:rPr>
                        <w:color w:val="FFFFFF" w:themeColor="background1"/>
                      </w:rPr>
                    </w:pPr>
                  </w:p>
                </w:txbxContent>
              </v:textbox>
              <w10:wrap type="tight"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0AA"/>
    <w:multiLevelType w:val="hybridMultilevel"/>
    <w:tmpl w:val="82C2D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38990">
    <w:abstractNumId w:val="8"/>
  </w:num>
  <w:num w:numId="2" w16cid:durableId="2018072700">
    <w:abstractNumId w:val="4"/>
  </w:num>
  <w:num w:numId="3" w16cid:durableId="1172573138">
    <w:abstractNumId w:val="5"/>
  </w:num>
  <w:num w:numId="4" w16cid:durableId="217786738">
    <w:abstractNumId w:val="1"/>
  </w:num>
  <w:num w:numId="5" w16cid:durableId="479269092">
    <w:abstractNumId w:val="6"/>
  </w:num>
  <w:num w:numId="6" w16cid:durableId="1684360801">
    <w:abstractNumId w:val="2"/>
  </w:num>
  <w:num w:numId="7" w16cid:durableId="2056998387">
    <w:abstractNumId w:val="3"/>
  </w:num>
  <w:num w:numId="8" w16cid:durableId="481123670">
    <w:abstractNumId w:val="7"/>
  </w:num>
  <w:num w:numId="9" w16cid:durableId="187171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08ED"/>
    <w:rsid w:val="00012FF3"/>
    <w:rsid w:val="00023EEF"/>
    <w:rsid w:val="00026F7C"/>
    <w:rsid w:val="0002703E"/>
    <w:rsid w:val="00036C38"/>
    <w:rsid w:val="00041FF7"/>
    <w:rsid w:val="00051B5B"/>
    <w:rsid w:val="00060BF4"/>
    <w:rsid w:val="00065824"/>
    <w:rsid w:val="0007256A"/>
    <w:rsid w:val="000808C2"/>
    <w:rsid w:val="00082781"/>
    <w:rsid w:val="00083C50"/>
    <w:rsid w:val="000A0DF5"/>
    <w:rsid w:val="000B14E6"/>
    <w:rsid w:val="000C05FF"/>
    <w:rsid w:val="000C432F"/>
    <w:rsid w:val="00100646"/>
    <w:rsid w:val="00123640"/>
    <w:rsid w:val="0013647B"/>
    <w:rsid w:val="001547B8"/>
    <w:rsid w:val="00154B42"/>
    <w:rsid w:val="001608F0"/>
    <w:rsid w:val="00172F5A"/>
    <w:rsid w:val="00175D42"/>
    <w:rsid w:val="001C7507"/>
    <w:rsid w:val="001E16BA"/>
    <w:rsid w:val="001E3A85"/>
    <w:rsid w:val="002051A7"/>
    <w:rsid w:val="00205770"/>
    <w:rsid w:val="002207CF"/>
    <w:rsid w:val="00221E80"/>
    <w:rsid w:val="00223CF8"/>
    <w:rsid w:val="00242D6D"/>
    <w:rsid w:val="00245D19"/>
    <w:rsid w:val="00260C1E"/>
    <w:rsid w:val="002620B3"/>
    <w:rsid w:val="002756AF"/>
    <w:rsid w:val="002777C5"/>
    <w:rsid w:val="002A12F1"/>
    <w:rsid w:val="002C7686"/>
    <w:rsid w:val="002D0461"/>
    <w:rsid w:val="002D4B2C"/>
    <w:rsid w:val="002D781A"/>
    <w:rsid w:val="002F1E1B"/>
    <w:rsid w:val="003131F1"/>
    <w:rsid w:val="00314126"/>
    <w:rsid w:val="00317325"/>
    <w:rsid w:val="00322337"/>
    <w:rsid w:val="00326925"/>
    <w:rsid w:val="00341848"/>
    <w:rsid w:val="003457FF"/>
    <w:rsid w:val="00352ED3"/>
    <w:rsid w:val="0036222F"/>
    <w:rsid w:val="00362BBD"/>
    <w:rsid w:val="00367715"/>
    <w:rsid w:val="00371CF3"/>
    <w:rsid w:val="00393269"/>
    <w:rsid w:val="003A73D3"/>
    <w:rsid w:val="003B7624"/>
    <w:rsid w:val="003D603C"/>
    <w:rsid w:val="003F1781"/>
    <w:rsid w:val="003F1C76"/>
    <w:rsid w:val="004043EE"/>
    <w:rsid w:val="00407D7A"/>
    <w:rsid w:val="004209AF"/>
    <w:rsid w:val="00423CD9"/>
    <w:rsid w:val="00424491"/>
    <w:rsid w:val="00433BEB"/>
    <w:rsid w:val="004366DC"/>
    <w:rsid w:val="0044543E"/>
    <w:rsid w:val="00452464"/>
    <w:rsid w:val="004673F9"/>
    <w:rsid w:val="004741B1"/>
    <w:rsid w:val="00475299"/>
    <w:rsid w:val="0048075D"/>
    <w:rsid w:val="004C4AF7"/>
    <w:rsid w:val="004D2BC5"/>
    <w:rsid w:val="004D39FF"/>
    <w:rsid w:val="004F03B1"/>
    <w:rsid w:val="004F362D"/>
    <w:rsid w:val="004F6029"/>
    <w:rsid w:val="00505D05"/>
    <w:rsid w:val="00510973"/>
    <w:rsid w:val="0053741D"/>
    <w:rsid w:val="00556B78"/>
    <w:rsid w:val="00560C71"/>
    <w:rsid w:val="00581E16"/>
    <w:rsid w:val="00592889"/>
    <w:rsid w:val="005A1900"/>
    <w:rsid w:val="005B0296"/>
    <w:rsid w:val="005B3E5B"/>
    <w:rsid w:val="005C0DCD"/>
    <w:rsid w:val="006032D1"/>
    <w:rsid w:val="00605FC0"/>
    <w:rsid w:val="006454B4"/>
    <w:rsid w:val="00672E88"/>
    <w:rsid w:val="006876F6"/>
    <w:rsid w:val="00691FF3"/>
    <w:rsid w:val="00693FFC"/>
    <w:rsid w:val="006B074F"/>
    <w:rsid w:val="006B4F35"/>
    <w:rsid w:val="006B526D"/>
    <w:rsid w:val="006C4B2C"/>
    <w:rsid w:val="006E196C"/>
    <w:rsid w:val="006F41CD"/>
    <w:rsid w:val="006F65CF"/>
    <w:rsid w:val="007102C8"/>
    <w:rsid w:val="00711B76"/>
    <w:rsid w:val="007126EE"/>
    <w:rsid w:val="00732DA9"/>
    <w:rsid w:val="00733E55"/>
    <w:rsid w:val="00742BB8"/>
    <w:rsid w:val="00743C98"/>
    <w:rsid w:val="00757CA0"/>
    <w:rsid w:val="00761787"/>
    <w:rsid w:val="007877E3"/>
    <w:rsid w:val="007C534F"/>
    <w:rsid w:val="007D49A9"/>
    <w:rsid w:val="007D5D79"/>
    <w:rsid w:val="007E7F65"/>
    <w:rsid w:val="0080102A"/>
    <w:rsid w:val="00802CC5"/>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A31BD"/>
    <w:rsid w:val="008B386A"/>
    <w:rsid w:val="008C41EB"/>
    <w:rsid w:val="008F0F25"/>
    <w:rsid w:val="00926409"/>
    <w:rsid w:val="00931453"/>
    <w:rsid w:val="00946EC7"/>
    <w:rsid w:val="0095152A"/>
    <w:rsid w:val="009664BD"/>
    <w:rsid w:val="00967B32"/>
    <w:rsid w:val="00970644"/>
    <w:rsid w:val="009C3C30"/>
    <w:rsid w:val="009C62E7"/>
    <w:rsid w:val="009F0F4C"/>
    <w:rsid w:val="00A04CF7"/>
    <w:rsid w:val="00A15350"/>
    <w:rsid w:val="00A31CD1"/>
    <w:rsid w:val="00A32ABC"/>
    <w:rsid w:val="00A344E1"/>
    <w:rsid w:val="00A53DEF"/>
    <w:rsid w:val="00A77135"/>
    <w:rsid w:val="00A80D73"/>
    <w:rsid w:val="00A81846"/>
    <w:rsid w:val="00A87776"/>
    <w:rsid w:val="00AA77C6"/>
    <w:rsid w:val="00AE60BA"/>
    <w:rsid w:val="00B015F1"/>
    <w:rsid w:val="00B0205E"/>
    <w:rsid w:val="00B2009D"/>
    <w:rsid w:val="00B35C16"/>
    <w:rsid w:val="00B3636C"/>
    <w:rsid w:val="00B41452"/>
    <w:rsid w:val="00B8454B"/>
    <w:rsid w:val="00B9441E"/>
    <w:rsid w:val="00B96644"/>
    <w:rsid w:val="00BB1B60"/>
    <w:rsid w:val="00BC4B77"/>
    <w:rsid w:val="00BC4D2F"/>
    <w:rsid w:val="00BC7B76"/>
    <w:rsid w:val="00BE7C5D"/>
    <w:rsid w:val="00BF6F0D"/>
    <w:rsid w:val="00C039B8"/>
    <w:rsid w:val="00C22BA0"/>
    <w:rsid w:val="00C34154"/>
    <w:rsid w:val="00C76915"/>
    <w:rsid w:val="00C8247C"/>
    <w:rsid w:val="00CA09F8"/>
    <w:rsid w:val="00CB1BD1"/>
    <w:rsid w:val="00CB1C54"/>
    <w:rsid w:val="00CC1443"/>
    <w:rsid w:val="00CD33F9"/>
    <w:rsid w:val="00CE19F4"/>
    <w:rsid w:val="00D01192"/>
    <w:rsid w:val="00D07D3D"/>
    <w:rsid w:val="00D231B7"/>
    <w:rsid w:val="00D3173A"/>
    <w:rsid w:val="00D35101"/>
    <w:rsid w:val="00D407EC"/>
    <w:rsid w:val="00D45799"/>
    <w:rsid w:val="00D6141A"/>
    <w:rsid w:val="00D92068"/>
    <w:rsid w:val="00D9732E"/>
    <w:rsid w:val="00DC1A0E"/>
    <w:rsid w:val="00DC7765"/>
    <w:rsid w:val="00DE1674"/>
    <w:rsid w:val="00DE2E3B"/>
    <w:rsid w:val="00DE765C"/>
    <w:rsid w:val="00DE7985"/>
    <w:rsid w:val="00DF1B74"/>
    <w:rsid w:val="00E11B4C"/>
    <w:rsid w:val="00E16FF5"/>
    <w:rsid w:val="00E439BA"/>
    <w:rsid w:val="00E6708C"/>
    <w:rsid w:val="00E81E29"/>
    <w:rsid w:val="00E8731E"/>
    <w:rsid w:val="00E90DBF"/>
    <w:rsid w:val="00EA2100"/>
    <w:rsid w:val="00EB1F68"/>
    <w:rsid w:val="00EB553C"/>
    <w:rsid w:val="00ED160D"/>
    <w:rsid w:val="00ED7AAE"/>
    <w:rsid w:val="00EE0E9C"/>
    <w:rsid w:val="00EF40B4"/>
    <w:rsid w:val="00EF7F78"/>
    <w:rsid w:val="00F039A8"/>
    <w:rsid w:val="00F34D3A"/>
    <w:rsid w:val="00F56A98"/>
    <w:rsid w:val="00F640B7"/>
    <w:rsid w:val="00F9113B"/>
    <w:rsid w:val="00F940D1"/>
    <w:rsid w:val="00F97B0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semiHidden/>
    <w:unhideWhenUsed/>
    <w:rsid w:val="001608F0"/>
    <w:rPr>
      <w:sz w:val="16"/>
      <w:szCs w:val="16"/>
    </w:rPr>
  </w:style>
  <w:style w:type="paragraph" w:styleId="CommentText">
    <w:name w:val="annotation text"/>
    <w:basedOn w:val="Normal"/>
    <w:link w:val="CommentTextChar"/>
    <w:semiHidden/>
    <w:unhideWhenUsed/>
    <w:rsid w:val="001608F0"/>
    <w:pPr>
      <w:spacing w:line="240" w:lineRule="auto"/>
    </w:pPr>
    <w:rPr>
      <w:sz w:val="20"/>
      <w:szCs w:val="20"/>
    </w:rPr>
  </w:style>
  <w:style w:type="character" w:customStyle="1" w:styleId="CommentTextChar">
    <w:name w:val="Comment Text Char"/>
    <w:basedOn w:val="DefaultParagraphFont"/>
    <w:link w:val="CommentText"/>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advice-and-guidance/2010/12/national-guidance-under-age-sexual-activity-meeting-needs-children-young/documents/0108880-pdf/0108880-pdf/govscot%3Adocument/010888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WPS@children1st.org.uk" TargetMode="External"/><Relationship Id="rId2" Type="http://schemas.openxmlformats.org/officeDocument/2006/relationships/hyperlink" Target="mailto:CWPS@children1s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1065</Words>
  <Characters>5402</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4</cp:revision>
  <dcterms:created xsi:type="dcterms:W3CDTF">2025-06-12T08:56:00Z</dcterms:created>
  <dcterms:modified xsi:type="dcterms:W3CDTF">2026-01-27T10:21:00Z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